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EBF" w:rsidRPr="009C765D" w:rsidRDefault="00714EBF" w:rsidP="00714EBF">
      <w:pPr>
        <w:pStyle w:val="NoSpacing"/>
        <w:rPr>
          <w:rFonts w:ascii="Georgia" w:hAnsi="Georgia" w:cstheme="minorHAnsi"/>
          <w:b/>
          <w:sz w:val="30"/>
          <w:szCs w:val="30"/>
        </w:rPr>
      </w:pPr>
      <w:bookmarkStart w:id="0" w:name="_GoBack"/>
      <w:bookmarkEnd w:id="0"/>
      <w:r>
        <w:rPr>
          <w:rFonts w:ascii="Georgia" w:hAnsi="Georgia" w:cstheme="minorHAnsi"/>
          <w:b/>
          <w:noProof/>
          <w:sz w:val="30"/>
          <w:szCs w:val="30"/>
          <w:lang w:val="en-CA" w:eastAsia="en-CA"/>
        </w:rPr>
        <w:drawing>
          <wp:anchor distT="0" distB="0" distL="114300" distR="114300" simplePos="0" relativeHeight="251659264" behindDoc="0" locked="0" layoutInCell="1" allowOverlap="1" wp14:anchorId="37F6615D" wp14:editId="0201F71E">
            <wp:simplePos x="0" y="0"/>
            <wp:positionH relativeFrom="column">
              <wp:posOffset>-28575</wp:posOffset>
            </wp:positionH>
            <wp:positionV relativeFrom="paragraph">
              <wp:posOffset>38100</wp:posOffset>
            </wp:positionV>
            <wp:extent cx="1440000" cy="2160000"/>
            <wp:effectExtent l="38100" t="38100" r="103505" b="8826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rnes.jpg"/>
                    <pic:cNvPicPr/>
                  </pic:nvPicPr>
                  <pic:blipFill>
                    <a:blip r:embed="rId4" cstate="email">
                      <a:extLst>
                        <a:ext uri="{28A0092B-C50C-407E-A947-70E740481C1C}">
                          <a14:useLocalDpi xmlns:a14="http://schemas.microsoft.com/office/drawing/2010/main"/>
                        </a:ext>
                      </a:extLst>
                    </a:blip>
                    <a:stretch>
                      <a:fillRect/>
                    </a:stretch>
                  </pic:blipFill>
                  <pic:spPr>
                    <a:xfrm>
                      <a:off x="0" y="0"/>
                      <a:ext cx="1440000" cy="2160000"/>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Pr="009C765D">
        <w:rPr>
          <w:rFonts w:ascii="Georgia" w:hAnsi="Georgia" w:cstheme="minorHAnsi"/>
          <w:b/>
          <w:noProof/>
          <w:sz w:val="30"/>
          <w:szCs w:val="30"/>
        </w:rPr>
        <w:t>The Law of Rights of Light</w:t>
      </w:r>
    </w:p>
    <w:p w:rsidR="00714EBF" w:rsidRPr="009C765D" w:rsidRDefault="00714EBF" w:rsidP="00714EBF">
      <w:pPr>
        <w:pStyle w:val="NoSpacing"/>
        <w:rPr>
          <w:rFonts w:ascii="Georgia" w:hAnsi="Georgia" w:cstheme="minorHAnsi"/>
          <w:i/>
          <w:sz w:val="30"/>
          <w:szCs w:val="30"/>
        </w:rPr>
      </w:pPr>
      <w:r w:rsidRPr="009C765D">
        <w:rPr>
          <w:rFonts w:ascii="Georgia" w:hAnsi="Georgia" w:cstheme="minorHAnsi"/>
          <w:i/>
          <w:noProof/>
          <w:sz w:val="30"/>
          <w:szCs w:val="30"/>
        </w:rPr>
        <w:t>Michael Barnes, QC</w:t>
      </w:r>
    </w:p>
    <w:p w:rsidR="00714EBF" w:rsidRPr="009C765D" w:rsidRDefault="00714EBF" w:rsidP="00714EBF">
      <w:pPr>
        <w:pStyle w:val="NoSpacing"/>
        <w:rPr>
          <w:rFonts w:ascii="Georgia" w:hAnsi="Georgia" w:cstheme="minorHAnsi"/>
          <w:sz w:val="10"/>
          <w:szCs w:val="10"/>
        </w:rPr>
      </w:pPr>
    </w:p>
    <w:p w:rsidR="00714EBF" w:rsidRPr="00F54698" w:rsidRDefault="00714EBF" w:rsidP="00714EBF">
      <w:pPr>
        <w:pStyle w:val="NoSpacing"/>
        <w:rPr>
          <w:rFonts w:ascii="Georgia" w:hAnsi="Georgia" w:cstheme="minorHAnsi"/>
          <w:noProof/>
          <w:sz w:val="20"/>
          <w:szCs w:val="20"/>
        </w:rPr>
      </w:pPr>
      <w:r w:rsidRPr="00F54698">
        <w:rPr>
          <w:rFonts w:ascii="Georgia" w:hAnsi="Georgia" w:cstheme="minorHAnsi"/>
          <w:b/>
          <w:noProof/>
          <w:color w:val="009999"/>
          <w:sz w:val="20"/>
          <w:szCs w:val="20"/>
        </w:rPr>
        <w:t>“Barnes gives us an important authoritative statement on the current law on rights of light [that] will be of great practical use to lawyers, advisers and planners as well as to landowners”</w:t>
      </w:r>
      <w:r w:rsidRPr="00F54698">
        <w:rPr>
          <w:rFonts w:ascii="Georgia" w:hAnsi="Georgia" w:cstheme="minorHAnsi"/>
          <w:noProof/>
          <w:sz w:val="20"/>
          <w:szCs w:val="20"/>
        </w:rPr>
        <w:t xml:space="preserve"> Philip Taylor, Richmond Green Chambers</w:t>
      </w:r>
    </w:p>
    <w:p w:rsidR="00714EBF" w:rsidRPr="00F54698" w:rsidRDefault="00714EBF" w:rsidP="00714EBF">
      <w:pPr>
        <w:pStyle w:val="NoSpacing"/>
        <w:rPr>
          <w:rFonts w:ascii="Georgia" w:hAnsi="Georgia" w:cstheme="minorHAnsi"/>
          <w:noProof/>
          <w:sz w:val="10"/>
          <w:szCs w:val="10"/>
        </w:rPr>
      </w:pPr>
    </w:p>
    <w:p w:rsidR="00714EBF" w:rsidRPr="00F54698" w:rsidRDefault="00714EBF" w:rsidP="00714EBF">
      <w:pPr>
        <w:pStyle w:val="NoSpacing"/>
        <w:ind w:left="2552"/>
        <w:rPr>
          <w:rFonts w:ascii="Georgia" w:hAnsi="Georgia" w:cstheme="minorHAnsi"/>
          <w:sz w:val="20"/>
          <w:szCs w:val="20"/>
        </w:rPr>
      </w:pPr>
      <w:r>
        <w:rPr>
          <w:rFonts w:ascii="Georgia" w:hAnsi="Georgia" w:cstheme="minorHAnsi"/>
          <w:noProof/>
          <w:sz w:val="20"/>
          <w:szCs w:val="20"/>
        </w:rPr>
        <w:t xml:space="preserve">This </w:t>
      </w:r>
      <w:r w:rsidRPr="00F54698">
        <w:rPr>
          <w:rFonts w:ascii="Georgia" w:hAnsi="Georgia" w:cstheme="minorHAnsi"/>
          <w:noProof/>
          <w:sz w:val="20"/>
          <w:szCs w:val="20"/>
        </w:rPr>
        <w:t>book provides the authoritative statement on the current law on rights of light in England and Wales. The purpose of the book is to explain the law as clearly as possible. In practice rights of light issues and disputes involve technical subjects and inevitably answers to these questions require the expertise of technical experts such as light surveyors. An attempt is made in the book to explain from a non-technical point of view the way in which measurements and calculations are carried out in this area. It is therefore hoped that the book will be of use to lawyers as well as to landowners who may not always understand these technical subjects and to surveyors who may not always be familiar with the legal concepts and difficulties involved in the area of the law of rights of light.</w:t>
      </w:r>
    </w:p>
    <w:p w:rsidR="00714EBF" w:rsidRPr="00F54698" w:rsidRDefault="00714EBF" w:rsidP="00714EBF">
      <w:pPr>
        <w:pStyle w:val="NoSpacing"/>
        <w:ind w:left="2552"/>
        <w:rPr>
          <w:rFonts w:ascii="Georgia" w:hAnsi="Georgia" w:cstheme="minorHAnsi"/>
          <w:sz w:val="10"/>
          <w:szCs w:val="10"/>
        </w:rPr>
      </w:pPr>
    </w:p>
    <w:p w:rsidR="00714EBF" w:rsidRPr="00F54698" w:rsidRDefault="00714EBF" w:rsidP="00714EBF">
      <w:pPr>
        <w:pStyle w:val="NoSpacing"/>
        <w:ind w:left="2552"/>
        <w:rPr>
          <w:rFonts w:ascii="Georgia" w:hAnsi="Georgia" w:cstheme="minorHAnsi"/>
          <w:i/>
          <w:sz w:val="20"/>
          <w:szCs w:val="20"/>
        </w:rPr>
      </w:pPr>
      <w:r w:rsidRPr="00F54698">
        <w:rPr>
          <w:rFonts w:ascii="Georgia" w:hAnsi="Georgia" w:cstheme="minorHAnsi"/>
          <w:b/>
          <w:i/>
          <w:noProof/>
          <w:sz w:val="20"/>
          <w:szCs w:val="20"/>
        </w:rPr>
        <w:t>Michael Barnes QC</w:t>
      </w:r>
      <w:r w:rsidRPr="00F54698">
        <w:rPr>
          <w:rFonts w:ascii="Georgia" w:hAnsi="Georgia" w:cstheme="minorHAnsi"/>
          <w:i/>
          <w:noProof/>
          <w:sz w:val="20"/>
          <w:szCs w:val="20"/>
        </w:rPr>
        <w:t xml:space="preserve"> is a barrister and Queen's Counsel of Wilberforce Chambers in Lincoln's Inn and a Bencher of the Middle Temple.</w:t>
      </w:r>
    </w:p>
    <w:p w:rsidR="00714EBF" w:rsidRPr="009C765D" w:rsidRDefault="00714EBF" w:rsidP="00714EBF">
      <w:pPr>
        <w:pStyle w:val="NoSpacing"/>
        <w:ind w:left="2552"/>
        <w:rPr>
          <w:rFonts w:ascii="Georgia" w:hAnsi="Georgia" w:cstheme="minorHAnsi"/>
          <w:sz w:val="10"/>
          <w:szCs w:val="10"/>
        </w:rPr>
      </w:pPr>
    </w:p>
    <w:p w:rsidR="00714EBF" w:rsidRPr="00F54698" w:rsidRDefault="00714EBF" w:rsidP="00714EBF">
      <w:pPr>
        <w:pStyle w:val="NoSpacing"/>
        <w:ind w:left="2552"/>
        <w:rPr>
          <w:rFonts w:ascii="Georgia" w:hAnsi="Georgia" w:cstheme="minorHAnsi"/>
          <w:sz w:val="20"/>
          <w:szCs w:val="20"/>
        </w:rPr>
      </w:pPr>
      <w:r w:rsidRPr="00F54698">
        <w:rPr>
          <w:rFonts w:ascii="Georgia" w:hAnsi="Georgia" w:cstheme="minorHAnsi"/>
          <w:noProof/>
          <w:sz w:val="20"/>
          <w:szCs w:val="20"/>
        </w:rPr>
        <w:t>April 2016</w:t>
      </w:r>
      <w:r w:rsidRPr="00F54698">
        <w:rPr>
          <w:rFonts w:ascii="Georgia" w:hAnsi="Georgia" w:cstheme="minorHAnsi"/>
          <w:sz w:val="20"/>
          <w:szCs w:val="20"/>
        </w:rPr>
        <w:t xml:space="preserve">   |   </w:t>
      </w:r>
      <w:r w:rsidRPr="00F54698">
        <w:rPr>
          <w:rFonts w:ascii="Georgia" w:hAnsi="Georgia" w:cstheme="minorHAnsi"/>
          <w:noProof/>
          <w:sz w:val="20"/>
          <w:szCs w:val="20"/>
        </w:rPr>
        <w:t>9781849468817</w:t>
      </w:r>
      <w:r w:rsidRPr="00F54698">
        <w:rPr>
          <w:rFonts w:ascii="Georgia" w:hAnsi="Georgia" w:cstheme="minorHAnsi"/>
          <w:sz w:val="20"/>
          <w:szCs w:val="20"/>
        </w:rPr>
        <w:t xml:space="preserve">   |   </w:t>
      </w:r>
      <w:r w:rsidRPr="00F54698">
        <w:rPr>
          <w:rFonts w:ascii="Georgia" w:hAnsi="Georgia" w:cstheme="minorHAnsi"/>
          <w:noProof/>
          <w:sz w:val="20"/>
          <w:szCs w:val="20"/>
        </w:rPr>
        <w:t>440</w:t>
      </w:r>
      <w:r w:rsidRPr="00F54698">
        <w:rPr>
          <w:rFonts w:ascii="Georgia" w:hAnsi="Georgia" w:cstheme="minorHAnsi"/>
          <w:sz w:val="20"/>
          <w:szCs w:val="20"/>
        </w:rPr>
        <w:t xml:space="preserve">pp   |   </w:t>
      </w:r>
      <w:r w:rsidRPr="00F54698">
        <w:rPr>
          <w:rFonts w:ascii="Georgia" w:hAnsi="Georgia" w:cstheme="minorHAnsi"/>
          <w:noProof/>
          <w:sz w:val="20"/>
          <w:szCs w:val="20"/>
        </w:rPr>
        <w:t>Hardback</w:t>
      </w:r>
      <w:r w:rsidRPr="00F54698">
        <w:rPr>
          <w:rFonts w:ascii="Georgia" w:hAnsi="Georgia" w:cstheme="minorHAnsi"/>
          <w:sz w:val="20"/>
          <w:szCs w:val="20"/>
        </w:rPr>
        <w:t xml:space="preserve">   |   RSP: </w:t>
      </w:r>
      <w:r w:rsidRPr="00F54698">
        <w:rPr>
          <w:rFonts w:ascii="Georgia" w:hAnsi="Georgia" w:cstheme="minorHAnsi"/>
          <w:strike/>
          <w:sz w:val="20"/>
          <w:szCs w:val="20"/>
        </w:rPr>
        <w:t>£</w:t>
      </w:r>
      <w:r w:rsidRPr="00F54698">
        <w:rPr>
          <w:rFonts w:ascii="Georgia" w:hAnsi="Georgia" w:cstheme="minorHAnsi"/>
          <w:strike/>
          <w:noProof/>
          <w:sz w:val="20"/>
          <w:szCs w:val="20"/>
        </w:rPr>
        <w:t>130</w:t>
      </w:r>
      <w:r w:rsidRPr="00F54698">
        <w:rPr>
          <w:rFonts w:ascii="Georgia" w:hAnsi="Georgia" w:cstheme="minorHAnsi"/>
          <w:sz w:val="20"/>
          <w:szCs w:val="20"/>
        </w:rPr>
        <w:t xml:space="preserve">   </w:t>
      </w:r>
    </w:p>
    <w:p w:rsidR="00714EBF" w:rsidRDefault="00714EBF" w:rsidP="00714EBF">
      <w:pPr>
        <w:ind w:left="2552"/>
        <w:rPr>
          <w:rFonts w:ascii="Georgia" w:hAnsi="Georgia" w:cstheme="minorHAnsi"/>
          <w:b/>
          <w:noProof/>
          <w:color w:val="009999"/>
          <w:sz w:val="20"/>
          <w:szCs w:val="20"/>
        </w:rPr>
      </w:pPr>
      <w:r w:rsidRPr="00F54698">
        <w:rPr>
          <w:rFonts w:ascii="Georgia" w:hAnsi="Georgia" w:cstheme="minorHAnsi"/>
          <w:b/>
          <w:color w:val="009999"/>
          <w:sz w:val="20"/>
          <w:szCs w:val="20"/>
        </w:rPr>
        <w:t>DISCOUNT PRICE: £</w:t>
      </w:r>
      <w:r w:rsidRPr="00F54698">
        <w:rPr>
          <w:rFonts w:ascii="Georgia" w:hAnsi="Georgia" w:cstheme="minorHAnsi"/>
          <w:b/>
          <w:noProof/>
          <w:color w:val="009999"/>
          <w:sz w:val="20"/>
          <w:szCs w:val="20"/>
        </w:rPr>
        <w:t>104</w:t>
      </w:r>
    </w:p>
    <w:p w:rsidR="00714EBF" w:rsidRPr="00F54698" w:rsidRDefault="00714EBF" w:rsidP="00714EBF">
      <w:pPr>
        <w:ind w:left="2552"/>
        <w:rPr>
          <w:rFonts w:ascii="Georgia" w:hAnsi="Georgia" w:cstheme="minorHAnsi"/>
          <w:b/>
          <w:color w:val="009999"/>
          <w:sz w:val="20"/>
          <w:szCs w:val="20"/>
        </w:rPr>
      </w:pPr>
      <w:r>
        <w:rPr>
          <w:rFonts w:ascii="Georgia" w:hAnsi="Georgia" w:cstheme="minorHAnsi"/>
          <w:b/>
          <w:noProof/>
          <w:color w:val="009999"/>
          <w:sz w:val="20"/>
          <w:szCs w:val="20"/>
        </w:rPr>
        <w:t xml:space="preserve">Click </w:t>
      </w:r>
      <w:hyperlink r:id="rId5" w:history="1">
        <w:r w:rsidRPr="00DF2862">
          <w:rPr>
            <w:rStyle w:val="Hyperlink"/>
            <w:rFonts w:ascii="Georgia" w:hAnsi="Georgia" w:cstheme="minorHAnsi"/>
            <w:b/>
            <w:noProof/>
            <w:sz w:val="20"/>
            <w:szCs w:val="20"/>
          </w:rPr>
          <w:t>here</w:t>
        </w:r>
      </w:hyperlink>
      <w:r>
        <w:rPr>
          <w:rFonts w:ascii="Georgia" w:hAnsi="Georgia" w:cstheme="minorHAnsi"/>
          <w:b/>
          <w:noProof/>
          <w:color w:val="009999"/>
          <w:sz w:val="20"/>
          <w:szCs w:val="20"/>
        </w:rPr>
        <w:t xml:space="preserve"> to order online – enter CV7 at the checkout to obtain your 20% discount</w:t>
      </w:r>
    </w:p>
    <w:p w:rsidR="0091703D" w:rsidRDefault="0091703D"/>
    <w:sectPr w:rsidR="009170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EBF"/>
    <w:rsid w:val="00714EBF"/>
    <w:rsid w:val="00897255"/>
    <w:rsid w:val="00917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A63D47-DD31-4867-91A4-17BFD8720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E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4EBF"/>
    <w:pPr>
      <w:spacing w:after="0" w:line="240" w:lineRule="auto"/>
    </w:pPr>
  </w:style>
  <w:style w:type="character" w:styleId="Hyperlink">
    <w:name w:val="Hyperlink"/>
    <w:basedOn w:val="DefaultParagraphFont"/>
    <w:uiPriority w:val="99"/>
    <w:unhideWhenUsed/>
    <w:rsid w:val="00714E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loomsburyprofessional.com/uk/the-law-of-rights-of-light-9781849468817/"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1268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Swinden</dc:creator>
  <cp:keywords/>
  <dc:description/>
  <cp:lastModifiedBy>Jason W Neyers</cp:lastModifiedBy>
  <cp:revision>2</cp:revision>
  <dcterms:created xsi:type="dcterms:W3CDTF">2016-08-25T14:39:00Z</dcterms:created>
  <dcterms:modified xsi:type="dcterms:W3CDTF">2016-08-25T14:39:00Z</dcterms:modified>
</cp:coreProperties>
</file>